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F" w14:textId="08F89CFC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F52836">
        <w:rPr>
          <w:rFonts w:ascii="Arial" w:hAnsi="Arial" w:cs="Arial"/>
          <w:b/>
          <w:sz w:val="24"/>
          <w:szCs w:val="24"/>
        </w:rPr>
        <w:t>»</w:t>
      </w:r>
      <w:r w:rsidR="00F52836" w:rsidRPr="00F52836">
        <w:rPr>
          <w:rFonts w:ascii="Arial" w:hAnsi="Arial" w:cs="Arial"/>
          <w:b/>
          <w:bCs/>
          <w:sz w:val="24"/>
          <w:szCs w:val="24"/>
        </w:rPr>
        <w:t>Izgradnja večnamenskih površin za promet kolesarjev in pešcev ob R1-2020/1334 – 3. in 4. faza</w:t>
      </w:r>
      <w:r w:rsidR="00573C4F" w:rsidRPr="00F52836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2836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cp:lastPrinted>2018-04-12T12:23:00Z</cp:lastPrinted>
  <dcterms:created xsi:type="dcterms:W3CDTF">2018-04-12T12:05:00Z</dcterms:created>
  <dcterms:modified xsi:type="dcterms:W3CDTF">2021-04-14T08:07:00Z</dcterms:modified>
</cp:coreProperties>
</file>