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  <w:bookmarkStart w:id="0" w:name="_GoBack"/>
      <w:bookmarkEnd w:id="0"/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6CC682D6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 xml:space="preserve">»Izgradnja </w:t>
      </w:r>
      <w:r w:rsidR="00135D11">
        <w:rPr>
          <w:rFonts w:ascii="Arial" w:hAnsi="Arial" w:cs="Arial"/>
        </w:rPr>
        <w:t>večnamenske poti na delu Ceste s</w:t>
      </w:r>
      <w:r w:rsidR="005E5710" w:rsidRPr="005E5710">
        <w:rPr>
          <w:rFonts w:ascii="Arial" w:hAnsi="Arial" w:cs="Arial"/>
        </w:rPr>
        <w:t>voboda«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2AAFE-39E8-4D57-93FD-810E13C3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2016-08-24T07:25:00Z</dcterms:created>
  <dcterms:modified xsi:type="dcterms:W3CDTF">2018-04-03T13:42:00Z</dcterms:modified>
</cp:coreProperties>
</file>