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ED782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t xml:space="preserve">PROGRAMSKO  POROČILO – 1. POLLETJE </w:t>
      </w:r>
    </w:p>
    <w:p w14:paraId="23AE4E6D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(za obdobje 1. 1.–30. 6. 2021)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>Rok oddaje poročila: 30. 6. 2021</w:t>
      </w:r>
    </w:p>
    <w:p w14:paraId="710367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2AB65E5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14D08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5AE6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0158D7C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859C4A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6D9333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8E013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D29FEE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24E69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398B6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BA6FCF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s 30. 6. 2021: </w:t>
      </w:r>
    </w:p>
    <w:p w14:paraId="604348D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104DB03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0F6E78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24B113A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2D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8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3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F40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B4F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E72C099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51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C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B8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6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A4DF15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8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A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1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B31068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32D4340C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11DD836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7A0603F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51F1775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1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44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8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58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99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429878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CB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8A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90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97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B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3F1CDF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4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D6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9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A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ECB7A27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04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2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05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A5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6A62E05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17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B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0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42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0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3040286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5A75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159611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4CEDDFA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9463F8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9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08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EB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9A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F0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09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8853C00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C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A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9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8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5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E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1BC182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D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9E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87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C9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6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C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1816B68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9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24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3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7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6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64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D3690D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9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B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68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0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9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600ABA9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B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4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E3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7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0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C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9D428F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A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1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D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E9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DB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F38565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7E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6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9C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7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2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63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7DBB8E4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2D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D4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0B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B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DD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C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B88E74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1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8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64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E2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D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4BFF7F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0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6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F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6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19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D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84FAA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B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9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A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B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0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0671D1B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9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E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E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3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B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5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5A53D4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7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B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D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B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D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8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7725040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0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63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2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DD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07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C4713C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4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9D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40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7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A94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2DCDB7BE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B05AE1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BB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CB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99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30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56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27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0ADDBB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8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C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6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2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5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EA3F65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D3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6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4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13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D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D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82131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E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5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56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5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4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12313B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79B88D2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2BF66B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67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16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7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77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22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1959C491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C9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C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7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6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DD97ED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3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7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1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C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E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C8389A5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4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7C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F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E4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24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0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D71F63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E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3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05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C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5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758AD09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3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C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F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F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77D71A5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180F567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EF4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E9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EE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71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75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7E6EC30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D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0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0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6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33471EE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A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C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9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F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B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A5C513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65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2E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4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C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922461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8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1F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7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E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00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E7B00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0D57F36D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73ADB09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70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7CD66A0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DA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58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88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207131E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41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B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4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D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83FE6E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B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1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5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CB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56FBB3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A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8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5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6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28556C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EA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C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0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C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05F0B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95951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2A0084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2069A9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10A08DE0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7A6F8D4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248C0B3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2B97848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6EC38AA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5EAA11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3D7566A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5BEEF23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14918F28" w14:textId="77777777" w:rsidR="00C101C4" w:rsidRDefault="00C101C4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5301515" w14:textId="63DC46B6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60A5999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C01792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6F9215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52424B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544F32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7D5998B4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PROGRAMSKO  POROČILO – 2. POLLETJE </w:t>
      </w:r>
    </w:p>
    <w:p w14:paraId="714425C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(za obdobje 1. 7.–31. 12. 2021)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>Rok oddaje poročila: 20. 11. 2021</w:t>
      </w:r>
    </w:p>
    <w:p w14:paraId="5E693A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05F23A7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</w:p>
    <w:p w14:paraId="38B8BD4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2242C19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6095B1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FF7E1F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3A470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166FAD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56F956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4C2FDB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78B130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6D66591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0A75E91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z 31. 12. 2021: </w:t>
      </w:r>
    </w:p>
    <w:p w14:paraId="687B96F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685BF88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2B5AD2C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0AF8E04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D7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E4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CF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C2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D1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E5470EF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D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2F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3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D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C4F3F34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A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D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C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1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57386A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A693466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210BEDCC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61AE5C3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1D9CDA0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764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22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E1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D5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AA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80736C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3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1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7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5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9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4F0CE6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B2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E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F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9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D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AB1C0AE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0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1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B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04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5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DFE833D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99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D3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5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7FDA36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71D9D8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2BEF4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62C54B8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3697292B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A8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40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B2E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7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D29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0F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5E01B36C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19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90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F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E7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6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C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E8561BF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4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7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D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1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2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1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A0488B4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9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6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4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86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7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8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388A9BD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0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1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8F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9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36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47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3A54C94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8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0C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FE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69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B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63BD49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5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28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D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8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9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3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AA87A11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A9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9F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5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6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29F7BB6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32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5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6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EF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A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FBAF97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0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5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6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4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A5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0532A2A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88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4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51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8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DA206D8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4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8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1D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7D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A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61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1BED4651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12E483A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D9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49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CB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37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AB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E4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46C0662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5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5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2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F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5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C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6E911BE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7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2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4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1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B6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6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16D1DD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0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AD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8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E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FA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1E336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5BA67A63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BEF5D2F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9D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AF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CD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23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5DC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E483E0C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A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5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9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3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6B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B6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EBB20C2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2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2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FE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6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B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A937E5B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4A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71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3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31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E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489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D8ED84E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1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7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6B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A2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0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F8BDDAD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A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30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B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1E3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0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3C41D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55AB8CD0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652110C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9F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F5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94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D1B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ACD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556E9F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CD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E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D4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1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7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C5B192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F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9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20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92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18DD3911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8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2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7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7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51BDEEB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95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4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E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7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62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7943BDA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36CF992B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2A4BF639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6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40C6F11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3F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59C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1360BC6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0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A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8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1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E954A73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7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C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0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E637920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D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66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D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C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FE915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55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1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E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A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1BF4938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0CCC35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A6FA3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47DC470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689D1874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6DBFF63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7855F1F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1430D4A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305B7DA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40F0988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6919697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0EEFA09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19F0C10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42B2E1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479534A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211B8E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CEEF4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3637B3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11FD12B7" w14:textId="74ADCD13" w:rsidR="003A73C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4AA1472A" w14:textId="507A9A6A" w:rsidR="00C101C4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0A82B026" w14:textId="52AC5AE6" w:rsidR="00C101C4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9281321" w14:textId="77777777" w:rsidR="00C101C4" w:rsidRPr="006E7E37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4C3A4A3" w14:textId="2833FA70" w:rsidR="003A73C7" w:rsidRPr="006E7E37" w:rsidRDefault="003A73C7" w:rsidP="003A73C7">
      <w:pPr>
        <w:pStyle w:val="Naslov2"/>
        <w:rPr>
          <w:shd w:val="clear" w:color="auto" w:fill="C0C0C0"/>
          <w:lang w:eastAsia="ar-SA"/>
        </w:rPr>
      </w:pPr>
      <w:r w:rsidRPr="006E7E37">
        <w:rPr>
          <w:shd w:val="clear" w:color="auto" w:fill="C0C0C0"/>
          <w:lang w:eastAsia="ar-SA"/>
        </w:rPr>
        <w:lastRenderedPageBreak/>
        <w:t>FINANČNO LETNO POROČILO</w:t>
      </w:r>
    </w:p>
    <w:p w14:paraId="508FD6DB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</w:p>
    <w:p w14:paraId="3932810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</w:p>
    <w:p w14:paraId="618BB6F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19"/>
          <w:lang w:eastAsia="ar-SA"/>
        </w:rPr>
        <w:t>Naziv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</w:p>
    <w:p w14:paraId="47F7E785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</w:p>
    <w:p w14:paraId="0C79AA7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>Obračun programskih stroškov v letu 2021:</w:t>
      </w:r>
    </w:p>
    <w:p w14:paraId="328D6635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Opombe za odhodke (lahko tudi v prilogi):</w:t>
      </w:r>
    </w:p>
    <w:p w14:paraId="7596C3F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33E8A3D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EE3138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ar-SA"/>
        </w:rPr>
      </w:pPr>
    </w:p>
    <w:p w14:paraId="6871DFE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ODHODKI</w:t>
      </w: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 - predlog nove tabele</w:t>
      </w:r>
    </w:p>
    <w:p w14:paraId="73A6F562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7209C59" w14:textId="77777777" w:rsidR="003A73C7" w:rsidRPr="006E7E37" w:rsidRDefault="003A73C7" w:rsidP="003A73C7">
      <w:pPr>
        <w:spacing w:before="0" w:after="0"/>
        <w:ind w:firstLine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cs="Tahoma"/>
          <w:b/>
          <w:bCs/>
          <w:sz w:val="20"/>
          <w:szCs w:val="20"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2AAF40FF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1AE3F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4835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DE6EC0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A7D8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76BDB7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48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589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110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F0EECE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507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85A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F27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E193E7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826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7D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56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6A8BD8A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D4BBE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97EF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727C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C1D58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E7E740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4357607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3CB20EFB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DA35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0E4E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7E1AE0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E781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6D0C066D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2AD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D895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A0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93B8DF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848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FE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649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BC479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EA2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437F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2AB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7ABEA439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543F1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21F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90B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5C41E2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1B4F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A8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DC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3EE23445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A24D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4AC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6FD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11ACEC48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23BF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005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2561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1313B36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4B2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6F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317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2D6F5B4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66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7017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ED3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C2FE2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C00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900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0FB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9436A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2A3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32E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08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B918D9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A84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14D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4C2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3487680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E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73B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2DA9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21B5E3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D8A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60F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F03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2942E7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96832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3AB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DA8D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69C82E06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F9A9A5C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6E7E37" w:rsidRPr="006E7E37" w14:paraId="7CC2B1BD" w14:textId="77777777" w:rsidTr="003A73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90C4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4C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40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429A542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5CB5C0A6" w14:textId="078769C8" w:rsidR="003A73C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70F1E104" w14:textId="77777777" w:rsidR="004E7783" w:rsidRPr="006E7E37" w:rsidRDefault="004E7783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AF08DF3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6E7E37" w:rsidRPr="006E7E37" w14:paraId="237A8F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7DF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5825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C3A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>Izvedba prihodka v EUR</w:t>
            </w:r>
          </w:p>
        </w:tc>
      </w:tr>
      <w:tr w:rsidR="006E7E37" w:rsidRPr="006E7E37" w14:paraId="7CED2104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74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1C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1E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BC54F5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A41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B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8F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1091CABC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D4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587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01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2AEFDF70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BB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966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2C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19D83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F6C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3D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1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07F92651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50F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D9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4DE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7C3FB7B5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</w:p>
    <w:p w14:paraId="33778321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 xml:space="preserve">* </w:t>
      </w:r>
      <w:r w:rsidRPr="006E7E37">
        <w:rPr>
          <w:rFonts w:eastAsia="Times New Roman" w:cs="Tahoma"/>
          <w:b/>
          <w:sz w:val="20"/>
          <w:szCs w:val="20"/>
          <w:lang w:eastAsia="sl-SI"/>
        </w:rPr>
        <w:t>Vsoti odhodkov in prihodkov se morata ujemati!</w:t>
      </w:r>
      <w:r w:rsidRPr="006E7E37">
        <w:rPr>
          <w:rFonts w:eastAsia="Times New Roman" w:cs="Tahoma"/>
          <w:sz w:val="20"/>
          <w:szCs w:val="20"/>
          <w:lang w:eastAsia="sl-SI"/>
        </w:rPr>
        <w:t xml:space="preserve"> </w:t>
      </w:r>
    </w:p>
    <w:p w14:paraId="0AEE63E1" w14:textId="77777777" w:rsidR="003A73C7" w:rsidRPr="006E7E37" w:rsidRDefault="003A73C7" w:rsidP="003A73C7">
      <w:pPr>
        <w:suppressAutoHyphens/>
        <w:spacing w:before="80" w:after="0" w:line="240" w:lineRule="auto"/>
        <w:jc w:val="both"/>
        <w:rPr>
          <w:rFonts w:ascii="Corbel" w:eastAsia="Times New Roman" w:hAnsi="Corbel" w:cs="Tahoma"/>
          <w:b/>
          <w:sz w:val="20"/>
          <w:szCs w:val="20"/>
          <w:lang w:eastAsia="ar-SA"/>
        </w:rPr>
      </w:pPr>
    </w:p>
    <w:p w14:paraId="767A6EE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8"/>
          <w:szCs w:val="18"/>
          <w:lang w:eastAsia="ar-SA"/>
        </w:rPr>
      </w:pPr>
      <w:r w:rsidRPr="006E7E37">
        <w:rPr>
          <w:rFonts w:ascii="Corbel" w:eastAsia="Times New Roman" w:hAnsi="Corbel" w:cs="Tahoma"/>
          <w:sz w:val="18"/>
          <w:szCs w:val="18"/>
          <w:lang w:eastAsia="ar-SA"/>
        </w:rPr>
        <w:t>Opombe za prihodke (lahko tudi v prilogi):</w:t>
      </w:r>
    </w:p>
    <w:p w14:paraId="51FC73C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5CF32CA7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804F0CF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09735D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>POMEMBNO!!!</w:t>
      </w:r>
    </w:p>
    <w:p w14:paraId="73F9C16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4F7CE10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04D1E9AB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3FDFEF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Arial"/>
          <w:sz w:val="17"/>
          <w:szCs w:val="17"/>
          <w:lang w:eastAsia="sl-SI"/>
        </w:rPr>
      </w:pPr>
      <w:r w:rsidRPr="006E7E37">
        <w:rPr>
          <w:rFonts w:ascii="Corbel" w:eastAsia="Times New Roman" w:hAnsi="Corbel" w:cs="Arial"/>
          <w:sz w:val="17"/>
          <w:szCs w:val="17"/>
          <w:lang w:eastAsia="sl-SI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p w14:paraId="422B2C4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D4DDAB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*** OBVEZNA PRILOGA: Finančna dokumentacija v višini odobrenega zneska Občine Brežice 2021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7ECC3FD2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Račune oz. finančna dokazila, ki se nanašajo izključno na programe izvedene konec novembra in decembra 2021, in jih s poročilom ni bilo možno priložiti, mora društvo dostaviti najkasneje do </w:t>
      </w:r>
      <w:r w:rsidRPr="006E7E37">
        <w:rPr>
          <w:rFonts w:ascii="Corbel" w:eastAsia="Times New Roman" w:hAnsi="Corbel" w:cs="Tahoma"/>
          <w:strike/>
          <w:sz w:val="17"/>
          <w:szCs w:val="17"/>
          <w:lang w:eastAsia="ar-SA"/>
        </w:rPr>
        <w:t>15.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 31. 1. 2022.</w:t>
      </w:r>
    </w:p>
    <w:p w14:paraId="7CB954F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14:paraId="6CFDADB2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lang w:eastAsia="ar-SA"/>
        </w:rPr>
        <w:t>Spodaj podpisani izjavljam, da so dane informacije v poročilu točne in skladne z dejstvi in da se finančni podatki skladajo z dejanskimi stroški.</w:t>
      </w:r>
    </w:p>
    <w:p w14:paraId="5AFD6C64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</w:p>
    <w:p w14:paraId="4734135E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ar-SA"/>
        </w:rPr>
        <w:tab/>
      </w:r>
    </w:p>
    <w:p w14:paraId="33D7CB3A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ar-SA"/>
        </w:rPr>
      </w:pPr>
    </w:p>
    <w:p w14:paraId="789C2DE2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ar-SA"/>
        </w:rPr>
      </w:pPr>
      <w:r w:rsidRPr="006E7E37">
        <w:rPr>
          <w:rFonts w:ascii="Corbel" w:eastAsia="Times New Roman" w:hAnsi="Corbel" w:cs="Tahoma"/>
          <w:sz w:val="17"/>
          <w:szCs w:val="20"/>
          <w:lang w:eastAsia="ar-SA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                </w:t>
      </w:r>
    </w:p>
    <w:p w14:paraId="1A9931B0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lang w:eastAsia="ar-SA"/>
        </w:rPr>
      </w:pPr>
    </w:p>
    <w:p w14:paraId="0213E6B6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lang w:eastAsia="ar-SA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atum:</w:t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</w:t>
      </w:r>
    </w:p>
    <w:p w14:paraId="50868951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544EC0EB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imes New Roman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Podpis predsednika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(žig)                   </w:t>
      </w:r>
      <w:r w:rsidRPr="006E7E37">
        <w:rPr>
          <w:rFonts w:ascii="Corbel" w:eastAsia="Times New Roman" w:hAnsi="Corbel" w:cs="Tahoma"/>
          <w:sz w:val="12"/>
          <w:szCs w:val="12"/>
          <w:lang w:eastAsia="ar-SA"/>
        </w:rPr>
        <w:t>POROČILO ODDATI NA: JSKD OI BREŽICE, Trg Jožeta Toporišiča 3, 8250 Brežice</w:t>
      </w:r>
    </w:p>
    <w:p w14:paraId="6C4BD5B4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34524E88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599CAF5F" w14:textId="549B7FDC" w:rsidR="003A73C7" w:rsidRPr="006E7E37" w:rsidRDefault="003A73C7" w:rsidP="003A73C7">
      <w:pPr>
        <w:rPr>
          <w:lang w:eastAsia="sl-SI"/>
        </w:rPr>
      </w:pPr>
    </w:p>
    <w:sectPr w:rsidR="003A73C7" w:rsidRPr="006E7E37" w:rsidSect="00AA7E2D">
      <w:head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4BD6" w14:textId="77777777" w:rsidR="00C101C4" w:rsidRDefault="00C101C4" w:rsidP="00C101C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16743CA0" w14:textId="77777777" w:rsidR="00C101C4" w:rsidRDefault="00C101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B89D6" w14:textId="77777777" w:rsidR="00C101C4" w:rsidRDefault="00C101C4" w:rsidP="00C101C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56B5B2BC" w14:textId="77777777" w:rsidR="00C101C4" w:rsidRDefault="00C101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4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7"/>
  </w:num>
  <w:num w:numId="15">
    <w:abstractNumId w:val="46"/>
  </w:num>
  <w:num w:numId="16">
    <w:abstractNumId w:val="45"/>
  </w:num>
  <w:num w:numId="17">
    <w:abstractNumId w:val="30"/>
  </w:num>
  <w:num w:numId="18">
    <w:abstractNumId w:val="27"/>
  </w:num>
  <w:num w:numId="19">
    <w:abstractNumId w:val="33"/>
  </w:num>
  <w:num w:numId="20">
    <w:abstractNumId w:val="42"/>
  </w:num>
  <w:num w:numId="21">
    <w:abstractNumId w:val="40"/>
  </w:num>
  <w:num w:numId="22">
    <w:abstractNumId w:val="5"/>
  </w:num>
  <w:num w:numId="23">
    <w:abstractNumId w:val="23"/>
  </w:num>
  <w:num w:numId="24">
    <w:abstractNumId w:val="39"/>
  </w:num>
  <w:num w:numId="25">
    <w:abstractNumId w:val="3"/>
  </w:num>
  <w:num w:numId="26">
    <w:abstractNumId w:val="38"/>
  </w:num>
  <w:num w:numId="27">
    <w:abstractNumId w:val="4"/>
  </w:num>
  <w:num w:numId="28">
    <w:abstractNumId w:val="16"/>
  </w:num>
  <w:num w:numId="29">
    <w:abstractNumId w:val="36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5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1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3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3B5D"/>
    <w:rsid w:val="00194DF6"/>
    <w:rsid w:val="001A3201"/>
    <w:rsid w:val="001A3D42"/>
    <w:rsid w:val="001B0914"/>
    <w:rsid w:val="001B5A53"/>
    <w:rsid w:val="001C052E"/>
    <w:rsid w:val="00212E69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E7783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6A6C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92370"/>
    <w:rsid w:val="0089535E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A007B0"/>
    <w:rsid w:val="00A04657"/>
    <w:rsid w:val="00A06BCF"/>
    <w:rsid w:val="00A1310C"/>
    <w:rsid w:val="00A2704A"/>
    <w:rsid w:val="00A42757"/>
    <w:rsid w:val="00A46664"/>
    <w:rsid w:val="00A51B2B"/>
    <w:rsid w:val="00A56F22"/>
    <w:rsid w:val="00A630F8"/>
    <w:rsid w:val="00A8009D"/>
    <w:rsid w:val="00A81815"/>
    <w:rsid w:val="00A823A7"/>
    <w:rsid w:val="00A9628B"/>
    <w:rsid w:val="00AA7E2D"/>
    <w:rsid w:val="00AB3E7A"/>
    <w:rsid w:val="00AB7EA2"/>
    <w:rsid w:val="00AC37CC"/>
    <w:rsid w:val="00AC3A74"/>
    <w:rsid w:val="00AC7BCB"/>
    <w:rsid w:val="00AF5897"/>
    <w:rsid w:val="00B13BC0"/>
    <w:rsid w:val="00B26B9A"/>
    <w:rsid w:val="00B26FC6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022AD"/>
    <w:rsid w:val="00C101C4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11089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A0833-CB64-46C1-B5C8-9BFA56C23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4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6</cp:revision>
  <cp:lastPrinted>2020-12-22T06:46:00Z</cp:lastPrinted>
  <dcterms:created xsi:type="dcterms:W3CDTF">2020-12-22T08:46:00Z</dcterms:created>
  <dcterms:modified xsi:type="dcterms:W3CDTF">2021-01-20T13:51:00Z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